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" w:leader="none"/>
        </w:tabs>
        <w:spacing w:before="0" w:after="60"/>
        <w:jc w:val="both"/>
        <w:rPr>
          <w:lang w:val="sr-CS"/>
        </w:rPr>
      </w:pPr>
      <w:r>
        <w:rPr>
          <w:b/>
          <w:lang w:val="sr-CS"/>
        </w:rPr>
        <w:t>Табела 9.1.</w:t>
      </w:r>
      <w:r>
        <w:rPr>
          <w:lang w:val="sr-CS"/>
        </w:rPr>
        <w:t xml:space="preserve"> Научне, уметничке и стручне квалификације наставника и задужења у настави</w:t>
      </w:r>
    </w:p>
    <w:tbl>
      <w:tblPr>
        <w:tblW w:w="107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8"/>
        <w:gridCol w:w="818"/>
        <w:gridCol w:w="307"/>
        <w:gridCol w:w="496"/>
        <w:gridCol w:w="142"/>
        <w:gridCol w:w="1114"/>
        <w:gridCol w:w="920"/>
        <w:gridCol w:w="313"/>
        <w:gridCol w:w="83"/>
        <w:gridCol w:w="1155"/>
        <w:gridCol w:w="459"/>
        <w:gridCol w:w="163"/>
        <w:gridCol w:w="1469"/>
        <w:gridCol w:w="515"/>
        <w:gridCol w:w="2023"/>
      </w:tblGrid>
      <w:tr>
        <w:trPr>
          <w:trHeight w:val="427" w:hRule="atLeast"/>
        </w:trPr>
        <w:tc>
          <w:tcPr>
            <w:tcW w:w="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 xml:space="preserve">Име и презиме 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Мирјана Илић</w:t>
            </w:r>
          </w:p>
        </w:tc>
      </w:tr>
      <w:tr>
        <w:trPr>
          <w:trHeight w:val="427" w:hRule="atLeast"/>
        </w:trPr>
        <w:tc>
          <w:tcPr>
            <w:tcW w:w="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Звање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Ванредни професор</w:t>
            </w:r>
          </w:p>
        </w:tc>
      </w:tr>
      <w:tr>
        <w:trPr>
          <w:trHeight w:val="427" w:hRule="atLeast"/>
        </w:trPr>
        <w:tc>
          <w:tcPr>
            <w:tcW w:w="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>
              <w:rPr>
                <w:b/>
                <w:lang w:val="sr-CS"/>
              </w:rPr>
              <w:t>радним временом и од када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Филозофски факултет Ниш</w:t>
            </w:r>
          </w:p>
        </w:tc>
      </w:tr>
      <w:tr>
        <w:trPr>
          <w:trHeight w:val="427" w:hRule="atLeast"/>
        </w:trPr>
        <w:tc>
          <w:tcPr>
            <w:tcW w:w="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Ужа научна односно уметничка област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Срски језик (Морфологија; Лексикологија)</w:t>
            </w:r>
          </w:p>
        </w:tc>
      </w:tr>
      <w:tr>
        <w:trPr>
          <w:trHeight w:val="427" w:hRule="atLeast"/>
        </w:trPr>
        <w:tc>
          <w:tcPr>
            <w:tcW w:w="10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Академска каријера</w:t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 xml:space="preserve">Година 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 xml:space="preserve">Институција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/>
              <w:t>Научна или уметничка о</w:t>
            </w:r>
            <w:r>
              <w:rPr>
                <w:lang w:val="sr-CS"/>
              </w:rPr>
              <w:t xml:space="preserve">бласт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/>
            </w:pPr>
            <w:r>
              <w:rPr/>
              <w:t>Ужа научна, уметничка или стручна област</w:t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Избор у звање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2021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Филозофски факултет Ниш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Српски језик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Морфологија; Лекикологија</w:t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Докторат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2011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 xml:space="preserve">Филолошки факултет </w:t>
              <w:br/>
              <w:t>Београд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Српски језик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Морфологија; Лексикологија</w:t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Специјализација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Магистратура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2003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Српски језик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Лексикологија</w:t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/>
            </w:pPr>
            <w:r>
              <w:rPr/>
              <w:t>Мастер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Диплома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1993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Српски језик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jc w:val="left"/>
              <w:rPr>
                <w:lang w:val="sr-RS"/>
              </w:rPr>
            </w:pPr>
            <w:r>
              <w:rPr>
                <w:lang w:val="sr-RS"/>
              </w:rPr>
              <w:t>Лексикологија</w:t>
            </w:r>
          </w:p>
        </w:tc>
      </w:tr>
      <w:tr>
        <w:trPr>
          <w:trHeight w:val="427" w:hRule="atLeast"/>
        </w:trPr>
        <w:tc>
          <w:tcPr>
            <w:tcW w:w="10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</w:rPr>
            </w:pPr>
            <w:r>
              <w:rPr>
                <w:b/>
                <w:lang w:val="sr-CS"/>
              </w:rPr>
              <w:t xml:space="preserve">Списак предмета за које је наставник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>
        <w:trPr>
          <w:trHeight w:val="822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Р.Б.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1</w:t>
            </w:r>
            <w:r>
              <w:rPr/>
              <w:t>,2,3...</w:t>
            </w:r>
            <w:r>
              <w:rPr>
                <w:lang w:val="sr-CS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/>
            </w:pPr>
            <w:r>
              <w:rPr/>
              <w:t>Ознака предмета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/>
            </w:pPr>
            <w:r>
              <w:rPr/>
              <w:t>Вид наставе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iCs/>
              </w:rPr>
              <w:t>В</w:t>
            </w:r>
            <w:r>
              <w:rPr>
                <w:iCs/>
                <w:lang w:val="sr-CS"/>
              </w:rPr>
              <w:t>рста студија (</w:t>
            </w:r>
            <w:r>
              <w:rPr>
                <w:iCs/>
              </w:rPr>
              <w:t>ОАС, МАС)</w:t>
            </w:r>
          </w:p>
        </w:tc>
      </w:tr>
      <w:tr>
        <w:trPr>
          <w:trHeight w:val="427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1.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OSR28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Морфологија 1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предавања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Србистика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ОАС</w:t>
            </w:r>
          </w:p>
        </w:tc>
      </w:tr>
      <w:tr>
        <w:trPr>
          <w:trHeight w:val="427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OSR35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Морфологија 2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предавања/вежбе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Србистика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ОАС</w:t>
            </w:r>
          </w:p>
        </w:tc>
      </w:tr>
      <w:tr>
        <w:trPr>
          <w:trHeight w:val="427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OSR332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Увод у лексикологију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предавања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Србистика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ОАС</w:t>
            </w:r>
          </w:p>
        </w:tc>
      </w:tr>
      <w:tr>
        <w:trPr>
          <w:trHeight w:val="427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0SR341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Увод у лекикографију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предавања/вежбе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Србистика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ОАС</w:t>
            </w:r>
          </w:p>
        </w:tc>
      </w:tr>
      <w:tr>
        <w:trPr>
          <w:trHeight w:val="427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5.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MFJ041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Увод у когнитивну лингвистику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предавања/вежбе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Србистика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RS"/>
              </w:rPr>
            </w:pPr>
            <w:r>
              <w:rPr>
                <w:lang w:val="sr-RS"/>
              </w:rPr>
              <w:t>МАС</w:t>
            </w:r>
          </w:p>
        </w:tc>
      </w:tr>
      <w:tr>
        <w:trPr>
          <w:trHeight w:val="427" w:hRule="atLeast"/>
        </w:trPr>
        <w:tc>
          <w:tcPr>
            <w:tcW w:w="10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Репрезентативне референце (минимално 5 не више од 10)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Илић, Мирјана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 xml:space="preserve"> (2005). </w:t>
            </w:r>
            <w:r>
              <w:rPr>
                <w:rFonts w:cs="Cambria" w:ascii="Cambria" w:hAnsi="Cambria"/>
                <w:i/>
                <w:sz w:val="22"/>
                <w:szCs w:val="22"/>
              </w:rPr>
              <w:t>Лексикографски поступци у дијалекатским речницима југоисточне Србије</w:t>
            </w:r>
            <w:r>
              <w:rPr>
                <w:rFonts w:cs="Cambria" w:ascii="Cambria" w:hAnsi="Cambria"/>
                <w:iCs/>
                <w:sz w:val="22"/>
                <w:szCs w:val="22"/>
                <w:lang w:val="sr-RS"/>
              </w:rPr>
              <w:t>.</w:t>
            </w:r>
            <w:r>
              <w:rPr>
                <w:rFonts w:cs="Cambria"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cs="Cambria" w:ascii="Cambria" w:hAnsi="Cambria"/>
                <w:sz w:val="22"/>
                <w:szCs w:val="22"/>
              </w:rPr>
              <w:t>Ниш: Филозофски факултет Ниш, Просвета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>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  <w:lang w:val="ru-RU"/>
              </w:rPr>
              <w:t>Илић, Мирјана (2013).</w:t>
            </w:r>
            <w:r>
              <w:rPr>
                <w:rFonts w:cs="Cambria"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cs="Cambria" w:ascii="Cambria" w:hAnsi="Cambria"/>
                <w:iCs/>
                <w:sz w:val="22"/>
                <w:szCs w:val="22"/>
                <w:lang w:val="ru-RU"/>
              </w:rPr>
              <w:t>,,Денотација и конотација придева за основне боје”</w:t>
            </w:r>
            <w:r>
              <w:rPr>
                <w:rFonts w:cs="Cambria" w:ascii="Cambria" w:hAnsi="Cambria"/>
                <w:sz w:val="22"/>
                <w:szCs w:val="22"/>
                <w:lang w:val="ru-RU"/>
              </w:rPr>
              <w:t xml:space="preserve">, </w:t>
            </w:r>
            <w:r>
              <w:rPr>
                <w:rFonts w:cs="Cambria" w:ascii="Cambria" w:hAnsi="Cambria"/>
                <w:i/>
                <w:iCs/>
                <w:sz w:val="22"/>
                <w:szCs w:val="22"/>
                <w:lang w:val="ru-RU"/>
              </w:rPr>
              <w:t>НССВД</w:t>
            </w:r>
            <w:r>
              <w:rPr>
                <w:rFonts w:cs="Cambria" w:ascii="Cambria" w:hAnsi="Cambria"/>
                <w:sz w:val="22"/>
                <w:szCs w:val="22"/>
                <w:lang w:val="ru-RU"/>
              </w:rPr>
              <w:t xml:space="preserve"> 43/1, Београд, стр. 295–303.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  <w:lang w:val="ru-RU"/>
              </w:rPr>
              <w:t>Илић, Мирјана (2016).</w:t>
            </w:r>
            <w:r>
              <w:rPr>
                <w:rFonts w:cs="Cambria" w:ascii="Cambria" w:hAnsi="Cambria"/>
                <w:i/>
                <w:sz w:val="22"/>
                <w:szCs w:val="22"/>
                <w:lang w:val="ru-RU"/>
              </w:rPr>
              <w:t xml:space="preserve"> Боје у оку, свести и језику</w:t>
            </w:r>
            <w:r>
              <w:rPr>
                <w:rFonts w:cs="Cambria" w:ascii="Cambria" w:hAnsi="Cambria"/>
                <w:sz w:val="22"/>
                <w:szCs w:val="22"/>
                <w:lang w:val="ru-RU"/>
              </w:rPr>
              <w:t>. Ниш: Наиспринт.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  <w:lang w:val="sr-Latn-RS"/>
              </w:rPr>
              <w:t>Ilić, Mirjana, Janjić Marina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 xml:space="preserve"> (2015).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>,,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>Methodological Pluralism od Associative Realtions in Teaching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 xml:space="preserve"> 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>Antonymy”,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 xml:space="preserve"> </w:t>
            </w:r>
            <w:r>
              <w:rPr>
                <w:rFonts w:cs="Cambria" w:ascii="Cambria" w:hAnsi="Cambria"/>
                <w:i/>
                <w:iCs/>
                <w:sz w:val="22"/>
                <w:szCs w:val="22"/>
                <w:lang w:val="en-US"/>
              </w:rPr>
              <w:t>Teaching Languages and Cultures in Post-Method Era: Essues and Developments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, </w:t>
            </w:r>
            <w:r>
              <w:rPr>
                <w:rFonts w:cs="Cambria" w:ascii="Cambria" w:hAnsi="Cambria"/>
                <w:sz w:val="22"/>
                <w:szCs w:val="22"/>
                <w:lang w:val="sr-Latn-RS"/>
              </w:rPr>
              <w:t>str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>.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 95–109.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  <w:lang w:val="sr-CS"/>
              </w:rPr>
              <w:t>Илић, Мирјана</w:t>
            </w:r>
            <w:r>
              <w:rPr>
                <w:rFonts w:cs="Cambria" w:ascii="Cambria" w:hAnsi="Cambria"/>
                <w:sz w:val="22"/>
                <w:szCs w:val="22"/>
                <w:lang w:val="sr-Latn-RS"/>
              </w:rPr>
              <w:t xml:space="preserve"> (2016).</w:t>
            </w:r>
            <w:r>
              <w:rPr>
                <w:rFonts w:cs="Cambria" w:ascii="Cambria" w:hAnsi="Cambria"/>
                <w:sz w:val="22"/>
                <w:szCs w:val="22"/>
                <w:lang w:val="sr-CS"/>
              </w:rPr>
              <w:t xml:space="preserve"> </w:t>
            </w:r>
            <w:r>
              <w:rPr>
                <w:rFonts w:cs="Cambria" w:ascii="Cambria" w:hAnsi="Cambria"/>
                <w:sz w:val="22"/>
                <w:szCs w:val="22"/>
                <w:lang w:val="sr-Latn-RS"/>
              </w:rPr>
              <w:t>,,</w:t>
            </w:r>
            <w:r>
              <w:rPr>
                <w:rFonts w:cs="Cambria" w:ascii="Cambria" w:hAnsi="Cambria"/>
                <w:iCs/>
                <w:sz w:val="22"/>
                <w:szCs w:val="22"/>
                <w:lang w:val="sr-CS"/>
              </w:rPr>
              <w:t>Тле и тело у светлу икуства с бојама у говору старопланинског краја”</w:t>
            </w:r>
            <w:r>
              <w:rPr>
                <w:rFonts w:cs="Cambria" w:ascii="Cambria" w:hAnsi="Cambria"/>
                <w:sz w:val="22"/>
                <w:szCs w:val="22"/>
                <w:lang w:val="sr-CS"/>
              </w:rPr>
              <w:t xml:space="preserve">, </w:t>
            </w:r>
            <w:r>
              <w:rPr>
                <w:rFonts w:cs="Cambria" w:ascii="Cambria" w:hAnsi="Cambria"/>
                <w:i/>
                <w:iCs/>
                <w:sz w:val="22"/>
                <w:szCs w:val="22"/>
                <w:lang w:val="sr-CS"/>
              </w:rPr>
              <w:t>Српски дијалектолошки  зборник</w:t>
            </w:r>
            <w:r>
              <w:rPr>
                <w:rFonts w:cs="Cambria" w:ascii="Cambria" w:hAnsi="Cambria"/>
                <w:sz w:val="22"/>
                <w:szCs w:val="22"/>
                <w:lang w:val="sr-CS"/>
              </w:rPr>
              <w:t>, LXIII, Београд, стр. 839–855.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  <w:lang w:val="sr-Latn-RS"/>
              </w:rPr>
              <w:t>Ilić, Mirjana (2016).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 ,,</w:t>
            </w:r>
            <w:r>
              <w:rPr>
                <w:rFonts w:cs="Cambria" w:ascii="Cambria" w:hAnsi="Cambria"/>
                <w:iCs/>
                <w:sz w:val="22"/>
                <w:szCs w:val="22"/>
                <w:lang w:val="en-US"/>
              </w:rPr>
              <w:t>Semantic Extension of Human colors white, pale and grey”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, </w:t>
            </w:r>
            <w:r>
              <w:rPr>
                <w:rFonts w:cs="Cambria" w:ascii="Cambria" w:hAnsi="Cambria"/>
                <w:i/>
                <w:iCs/>
                <w:sz w:val="22"/>
                <w:szCs w:val="22"/>
                <w:lang w:val="en-US"/>
              </w:rPr>
              <w:t>Facta Universitatis: Linguistics and Literature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, Vol 14, Nº2, </w:t>
            </w:r>
            <w:r>
              <w:rPr>
                <w:rFonts w:cs="Cambria" w:ascii="Cambria" w:hAnsi="Cambria"/>
                <w:sz w:val="22"/>
                <w:szCs w:val="22"/>
                <w:lang w:val="sr-Latn-RS"/>
              </w:rPr>
              <w:t>str.</w:t>
            </w:r>
            <w:r>
              <w:rPr>
                <w:rFonts w:cs="Cambria" w:ascii="Cambria" w:hAnsi="Cambria"/>
                <w:sz w:val="22"/>
                <w:szCs w:val="22"/>
                <w:lang w:val="en-US"/>
              </w:rPr>
              <w:t xml:space="preserve"> 161–172.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Tahoma" w:ascii="Cambria" w:hAnsi="Cambria"/>
                <w:bCs/>
                <w:sz w:val="22"/>
                <w:szCs w:val="22"/>
                <w:lang w:val="ru-RU"/>
              </w:rPr>
              <w:t xml:space="preserve">Илић, Мирјана (2016). ,,Лексичка значења изведеница придева плав/модар”, </w:t>
            </w:r>
            <w:r>
              <w:rPr>
                <w:rFonts w:cs="Tahoma" w:ascii="Cambria" w:hAnsi="Cambria"/>
                <w:bCs/>
                <w:i/>
                <w:iCs/>
                <w:sz w:val="22"/>
                <w:szCs w:val="22"/>
                <w:lang w:val="ru-RU"/>
              </w:rPr>
              <w:t>Годишњак за српски језик</w:t>
            </w:r>
            <w:r>
              <w:rPr>
                <w:rFonts w:cs="Tahoma" w:ascii="Cambria" w:hAnsi="Cambria"/>
                <w:bCs/>
                <w:sz w:val="22"/>
                <w:szCs w:val="22"/>
                <w:lang w:val="ru-RU"/>
              </w:rPr>
              <w:t>, стр. 115–127.</w:t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76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>Илић, Мирјана.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sr-RS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Latn-RS"/>
              </w:rPr>
              <w:t>„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 xml:space="preserve">Слика жене у дијалекатским речницима призренско-тимочке говорне зоне“, ЈФ 80, св.2,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Latn-RS"/>
              </w:rPr>
              <w:t>UDK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 xml:space="preserve">: 811.163'41'282.2;  </w:t>
            </w:r>
            <w:hyperlink r:id="rId2">
              <w:r>
                <w:rPr>
                  <w:rStyle w:val="InternetLink"/>
                  <w:rFonts w:cs="Times New Roman"/>
                  <w:b w:val="false"/>
                  <w:bCs w:val="false"/>
                  <w:color w:val="auto"/>
                  <w:sz w:val="22"/>
                  <w:szCs w:val="22"/>
                </w:rPr>
                <w:t>https://doi.org/</w:t>
              </w:r>
              <w:r>
                <w:rPr>
                  <w:rStyle w:val="InternetLink"/>
                  <w:rFonts w:cs="Times New Roman"/>
                  <w:b w:val="false"/>
                  <w:bCs w:val="false"/>
                  <w:color w:val="auto"/>
                  <w:sz w:val="22"/>
                  <w:szCs w:val="22"/>
                  <w:lang w:val="sr-RS"/>
                </w:rPr>
                <w:t>10.2298/</w:t>
              </w:r>
              <w:r>
                <w:rPr>
                  <w:rStyle w:val="InternetLink"/>
                  <w:rFonts w:cs="Times New Roman"/>
                  <w:b w:val="false"/>
                  <w:bCs w:val="false"/>
                  <w:color w:val="auto"/>
                  <w:sz w:val="22"/>
                  <w:szCs w:val="22"/>
                  <w:lang w:val="sr-Latn-RS"/>
                </w:rPr>
                <w:t>JF</w:t>
              </w:r>
              <w:r>
                <w:rPr>
                  <w:rStyle w:val="InternetLink"/>
                  <w:rFonts w:cs="Times New Roman"/>
                  <w:b w:val="false"/>
                  <w:bCs w:val="false"/>
                  <w:color w:val="auto"/>
                  <w:sz w:val="22"/>
                  <w:szCs w:val="22"/>
                  <w:lang w:val="sr-RS"/>
                </w:rPr>
                <w:t>2402157</w:t>
              </w:r>
              <w:r>
                <w:rPr>
                  <w:rStyle w:val="InternetLink"/>
                  <w:rFonts w:cs="Times New Roman"/>
                  <w:b w:val="false"/>
                  <w:bCs w:val="false"/>
                  <w:color w:val="auto"/>
                  <w:sz w:val="22"/>
                  <w:szCs w:val="22"/>
                  <w:lang w:val="sr-Latn-RS"/>
                </w:rPr>
                <w:t>I</w:t>
              </w:r>
            </w:hyperlink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Latn-RS"/>
              </w:rPr>
              <w:t xml:space="preserve">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76"/>
              <w:jc w:val="both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cs="Cambria" w:ascii="Cambria" w:hAnsi="Cambria"/>
                <w:sz w:val="22"/>
                <w:szCs w:val="22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/>
            </w:pPr>
            <w:r>
              <w:rPr>
                <w:rFonts w:cs="Cambria" w:ascii="Cambria" w:hAnsi="Cambria"/>
                <w:sz w:val="22"/>
                <w:szCs w:val="22"/>
              </w:rPr>
              <w:t>Илић, Мирјана (2017).</w:t>
            </w: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cs="Cambria" w:ascii="Cambria" w:hAnsi="Cambria"/>
                <w:iCs/>
                <w:sz w:val="22"/>
                <w:szCs w:val="22"/>
              </w:rPr>
              <w:t>,,Семантичке екстензије назива ʼљудских бојаʼ црвен, румен, риђ у светлу концептуалне интеграције”</w:t>
            </w:r>
            <w:r>
              <w:rPr>
                <w:rFonts w:cs="Cambria" w:ascii="Cambria" w:hAnsi="Cambria"/>
                <w:sz w:val="22"/>
                <w:szCs w:val="22"/>
              </w:rPr>
              <w:t xml:space="preserve">, </w:t>
            </w:r>
            <w:r>
              <w:rPr>
                <w:rFonts w:cs="Cambria" w:ascii="Cambria" w:hAnsi="Cambria"/>
                <w:i/>
                <w:iCs/>
                <w:sz w:val="22"/>
                <w:szCs w:val="22"/>
              </w:rPr>
              <w:t>Јужнословенски филолог</w:t>
            </w:r>
            <w:r>
              <w:rPr>
                <w:rFonts w:cs="Cambria" w:ascii="Cambria" w:hAnsi="Cambria"/>
                <w:sz w:val="22"/>
                <w:szCs w:val="22"/>
              </w:rPr>
              <w:t xml:space="preserve"> </w:t>
            </w:r>
            <w:r>
              <w:rPr>
                <w:rFonts w:cs="Cambria" w:ascii="Cambria" w:hAnsi="Cambria"/>
                <w:sz w:val="22"/>
                <w:szCs w:val="22"/>
                <w:lang w:val="ru-RU"/>
              </w:rPr>
              <w:t>LXXII</w:t>
            </w:r>
            <w:r>
              <w:rPr>
                <w:rFonts w:cs="Cambria" w:ascii="Cambria" w:hAnsi="Cambria"/>
                <w:sz w:val="22"/>
                <w:szCs w:val="22"/>
              </w:rPr>
              <w:t xml:space="preserve">, св. 1-2, Београд, </w:t>
            </w:r>
            <w:r>
              <w:rPr>
                <w:rFonts w:cs="Cambria" w:ascii="Cambria" w:hAnsi="Cambria"/>
                <w:sz w:val="22"/>
                <w:szCs w:val="22"/>
                <w:lang w:val="sr-RS"/>
              </w:rPr>
              <w:t xml:space="preserve">стр. </w:t>
            </w:r>
            <w:r>
              <w:rPr>
                <w:rFonts w:cs="Cambria" w:ascii="Cambria" w:hAnsi="Cambria"/>
                <w:sz w:val="22"/>
                <w:szCs w:val="22"/>
              </w:rPr>
              <w:t>115–133.</w:t>
            </w:r>
            <w:r>
              <w:rPr>
                <w:rFonts w:cs="Cambria" w:ascii="Cambria" w:hAnsi="Cambria"/>
                <w:b/>
                <w:sz w:val="22"/>
                <w:szCs w:val="22"/>
              </w:rPr>
              <w:tab/>
            </w:r>
          </w:p>
        </w:tc>
      </w:tr>
      <w:tr>
        <w:trPr>
          <w:trHeight w:val="427" w:hRule="atLeast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76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>Илић, Мирјана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sr-RS"/>
              </w:rPr>
              <w:t>.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 xml:space="preserve">“ Обрада хроматске лексике у дескриптивним речницима“, у: </w:t>
            </w:r>
            <w:r>
              <w:rPr>
                <w:rFonts w:cs="Times New Roman"/>
                <w:b w:val="false"/>
                <w:bCs w:val="false"/>
                <w:i/>
                <w:iCs/>
                <w:color w:val="auto"/>
                <w:sz w:val="22"/>
                <w:szCs w:val="22"/>
                <w:lang w:val="sr-RS"/>
              </w:rPr>
              <w:t>Будућност српске описне лексикографије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 xml:space="preserve">, колективна монографија, Филолошки факултет Београд, Београд, 2025, 219-236,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Latn-RS"/>
              </w:rPr>
              <w:t xml:space="preserve">ISBN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sr-RS"/>
              </w:rPr>
              <w:t xml:space="preserve">978-86-6153-765-3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76"/>
              <w:jc w:val="both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0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>
        <w:trPr>
          <w:trHeight w:val="427" w:hRule="atLeast"/>
        </w:trPr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Укупан број цитата</w:t>
            </w:r>
          </w:p>
        </w:tc>
        <w:tc>
          <w:tcPr>
            <w:tcW w:w="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Укупан број радова са SCI (SSCI) листе</w:t>
            </w:r>
          </w:p>
        </w:tc>
        <w:tc>
          <w:tcPr>
            <w:tcW w:w="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278" w:hRule="atLeast"/>
        </w:trPr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Тренутно учешће на пројектима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 xml:space="preserve">Домаћи </w:t>
            </w:r>
            <w:r>
              <w:rPr>
                <w:lang w:val="sr-Latn-RS"/>
              </w:rPr>
              <w:t>1</w:t>
            </w: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 xml:space="preserve">Међународни </w:t>
            </w:r>
            <w:r>
              <w:rPr>
                <w:lang w:val="sr-Latn-RS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 xml:space="preserve">Усавршавања </w:t>
            </w:r>
          </w:p>
        </w:tc>
        <w:tc>
          <w:tcPr>
            <w:tcW w:w="8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10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20" w:after="20"/>
              <w:rPr>
                <w:lang w:val="sr-CS"/>
              </w:rPr>
            </w:pPr>
            <w:r>
              <w:rPr>
                <w:lang w:val="sr-CS"/>
              </w:rPr>
              <w:t>Други подаци које сматрате релевантним</w:t>
            </w:r>
          </w:p>
        </w:tc>
      </w:tr>
      <w:tr>
        <w:trPr>
          <w:trHeight w:val="427" w:hRule="atLeast"/>
        </w:trPr>
        <w:tc>
          <w:tcPr>
            <w:tcW w:w="10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before="0" w:after="60"/>
              <w:rPr>
                <w:lang w:val="sr-CS"/>
              </w:rPr>
            </w:pPr>
            <w:r>
              <w:rPr>
                <w:lang w:val="sr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 сме прећи једну А4 страну.</w:t>
            </w:r>
          </w:p>
        </w:tc>
      </w:tr>
    </w:tbl>
    <w:p>
      <w:pPr>
        <w:pStyle w:val="Normal"/>
        <w:rPr>
          <w:sz w:val="6"/>
          <w:szCs w:val="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426" w:right="567" w:gutter="0" w:header="113" w:top="1843" w:footer="17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sr-RS"/>
      </w:rPr>
    </w:pPr>
    <w:r>
      <w:rPr/>
      <w:t>www.filfak.ni.ac.rs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6"/>
        <w:szCs w:val="6"/>
      </w:rPr>
    </w:pPr>
    <w:r>
      <w:rPr>
        <w:sz w:val="6"/>
        <w:szCs w:val="6"/>
      </w:rPr>
      <w:t xml:space="preserve">         </w:t>
    </w:r>
  </w:p>
  <w:tbl>
    <w:tblPr>
      <w:tblW w:w="1086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2"/>
      <w:gridCol w:w="7560"/>
      <w:gridCol w:w="1670"/>
    </w:tblGrid>
    <w:tr>
      <w:trPr>
        <w:trHeight w:val="367" w:hRule="atLeast"/>
      </w:trPr>
      <w:tc>
        <w:tcPr>
          <w:tcW w:w="16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Header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899795" cy="899795"/>
                <wp:effectExtent l="0" t="0" r="0" b="0"/>
                <wp:docPr id="1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FFFFFF" w:val="clear"/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  <w:lang w:val="sr-CS"/>
            </w:rPr>
            <w:t>Универзитет у Нишу</w:t>
          </w:r>
        </w:p>
        <w:p>
          <w:pPr>
            <w:pStyle w:val="Header"/>
            <w:widowControl w:val="false"/>
            <w:jc w:val="center"/>
            <w:rPr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  <w:lang w:val="sr-CS"/>
            </w:rPr>
            <w:t>Филозофски факултет</w:t>
          </w:r>
        </w:p>
      </w:tc>
      <w:tc>
        <w:tcPr>
          <w:tcW w:w="16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Header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922020" cy="922020"/>
                <wp:effectExtent l="0" t="0" r="0" b="0"/>
                <wp:docPr id="2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467" w:hRule="atLeast"/>
      </w:trPr>
      <w:tc>
        <w:tcPr>
          <w:tcW w:w="163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widowControl w:val="false"/>
            <w:rPr/>
          </w:pPr>
          <w:r>
            <w:rPr/>
          </w:r>
        </w:p>
      </w:tc>
      <w:tc>
        <w:tcPr>
          <w:tcW w:w="7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E6E6E6" w:val="clear"/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S"/>
            </w:rPr>
            <w:t>Акредитација</w:t>
          </w:r>
          <w:r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>
            <w:rPr>
              <w:b/>
              <w:color w:val="333399"/>
              <w:sz w:val="24"/>
              <w:szCs w:val="24"/>
              <w:lang w:val="sr-RS"/>
            </w:rPr>
            <w:t>студијског програма</w:t>
          </w:r>
        </w:p>
      </w:tc>
      <w:tc>
        <w:tcPr>
          <w:tcW w:w="167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widowControl w:val="false"/>
            <w:jc w:val="right"/>
            <w:rPr>
              <w:lang w:val="sr-CS"/>
            </w:rPr>
          </w:pPr>
          <w:r>
            <w:rPr>
              <w:lang w:val="sr-CS"/>
            </w:rPr>
          </w:r>
        </w:p>
      </w:tc>
    </w:tr>
    <w:tr>
      <w:trPr>
        <w:trHeight w:val="449" w:hRule="atLeast"/>
      </w:trPr>
      <w:tc>
        <w:tcPr>
          <w:tcW w:w="163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widowControl w:val="false"/>
            <w:rPr/>
          </w:pPr>
          <w:r>
            <w:rPr/>
          </w:r>
        </w:p>
      </w:tc>
      <w:tc>
        <w:tcPr>
          <w:tcW w:w="7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FFFFFF" w:val="clear"/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highlight w:val="yellow"/>
              <w:lang w:val="sr-RS"/>
            </w:rPr>
            <w:t>Србистика</w:t>
          </w:r>
        </w:p>
      </w:tc>
      <w:tc>
        <w:tcPr>
          <w:tcW w:w="167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widowControl w:val="false"/>
            <w:jc w:val="right"/>
            <w:rPr>
              <w:lang w:val="sr-CS"/>
            </w:rPr>
          </w:pPr>
          <w:r>
            <w:rPr>
              <w:lang w:val="sr-CS"/>
            </w:rPr>
          </w:r>
        </w:p>
      </w:tc>
    </w:tr>
  </w:tbl>
  <w:p>
    <w:pPr>
      <w:pStyle w:val="Header"/>
      <w:jc w:val="center"/>
      <w:rPr>
        <w:sz w:val="6"/>
        <w:szCs w:val="6"/>
      </w:rPr>
    </w:pPr>
    <w:r>
      <w:rPr>
        <w:sz w:val="6"/>
        <w:szCs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RS" w:eastAsia="sr-Latn-R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b6b7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r-Latn-CS" w:eastAsia="sr-Latn-CS" w:bidi="ar-SA"/>
    </w:rPr>
  </w:style>
  <w:style w:type="paragraph" w:styleId="Heading1">
    <w:name w:val="Heading 1"/>
    <w:basedOn w:val="Normal"/>
    <w:next w:val="Normal"/>
    <w:qFormat/>
    <w:rsid w:val="001e1e7f"/>
    <w:pPr>
      <w:keepNext w:val="true"/>
      <w:outlineLvl w:val="0"/>
    </w:pPr>
    <w:rPr>
      <w:b/>
      <w:sz w:val="24"/>
      <w:szCs w:val="24"/>
    </w:rPr>
  </w:style>
  <w:style w:type="character" w:styleId="DefaultParagraphFont" w:default="1">
    <w:name w:val="Default Paragraph Font"/>
    <w:semiHidden/>
    <w:qFormat/>
    <w:rPr/>
  </w:style>
  <w:style w:type="character" w:styleId="InternetLink">
    <w:name w:val="Hyperlink"/>
    <w:rsid w:val="00f4203a"/>
    <w:rPr>
      <w:color w:val="0000FF"/>
      <w:u w:val="single"/>
    </w:rPr>
  </w:style>
  <w:style w:type="character" w:styleId="VisitedInternet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qFormat/>
    <w:rsid w:val="002e68df"/>
    <w:rPr>
      <w:color w:val="2B579A"/>
      <w:shd w:fill="E6E6E6" w:val="clear"/>
    </w:rPr>
  </w:style>
  <w:style w:type="character" w:styleId="UnresolvedMention">
    <w:name w:val="Unresolved Mention"/>
    <w:uiPriority w:val="99"/>
    <w:semiHidden/>
    <w:unhideWhenUsed/>
    <w:qFormat/>
    <w:rsid w:val="00416d10"/>
    <w:rPr>
      <w:color w:val="808080"/>
      <w:shd w:fill="E6E6E6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0d6133"/>
    <w:pPr/>
    <w:rPr>
      <w:sz w:val="24"/>
      <w:lang w:val="sr-C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1f79d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1f79d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0b6b7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0a64ba"/>
    <w:pPr>
      <w:widowControl/>
      <w:jc w:val="both"/>
    </w:pPr>
    <w:rPr>
      <w:sz w:val="24"/>
      <w:szCs w:val="24"/>
      <w:lang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c3c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2298/JF2402157I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LibreOffice/7.4.1.2$Windows_X86_64 LibreOffice_project/3c58a8f3a960df8bc8fd77b461821e42c061c5f0</Application>
  <AppVersion>15.0000</AppVersion>
  <Pages>2</Pages>
  <Words>446</Words>
  <Characters>2852</Characters>
  <CharactersWithSpaces>3210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2021-10-28T09:17:00Z</dcterms:created>
  <dc:creator>Saša Trenčić</dc:creator>
  <dc:description/>
  <dc:language>en-GB</dc:language>
  <cp:lastModifiedBy/>
  <cp:lastPrinted>2008-06-10T11:57:00Z</cp:lastPrinted>
  <dcterms:modified xsi:type="dcterms:W3CDTF">2025-04-13T13:14:58Z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