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E224B" w14:textId="77777777" w:rsidR="0090028A" w:rsidRDefault="0090028A" w:rsidP="0090028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НАСТАВНО-НАУЧНОМ ВЕЋУ ФИЛОЗОФСКОГ ФАКУЛТЕТА У НИШУ</w:t>
      </w:r>
    </w:p>
    <w:p w14:paraId="39C68B9C" w14:textId="77777777" w:rsidR="0090028A" w:rsidRDefault="0090028A" w:rsidP="0090028A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E6BCF6" w14:textId="77777777" w:rsidR="0090028A" w:rsidRDefault="0090028A" w:rsidP="0090028A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EBE24F" w14:textId="77777777" w:rsidR="0090028A" w:rsidRDefault="0090028A" w:rsidP="0090028A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55F2B3" w14:textId="77777777" w:rsidR="0090028A" w:rsidRDefault="0090028A" w:rsidP="0090028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РЕЦЕНЗИЈА РУКОПИСА ДАНИЈЕЛЕ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КОСТАДИНОВИЋ</w:t>
      </w:r>
    </w:p>
    <w:p w14:paraId="0E4C9C90" w14:textId="77777777" w:rsidR="0090028A" w:rsidRDefault="0090028A" w:rsidP="0090028A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30FF7">
        <w:rPr>
          <w:rFonts w:ascii="Times New Roman" w:hAnsi="Times New Roman" w:cs="Times New Roman"/>
          <w:i/>
          <w:sz w:val="24"/>
          <w:szCs w:val="24"/>
          <w:lang w:val="sr-Cyrl-RS"/>
        </w:rPr>
        <w:t>ГДЕ ДРВЕЋЕ УМИРЕ: МАГИЧНИ РЕАЛИЗАМ ЖИВКА ЧИНГА</w:t>
      </w:r>
    </w:p>
    <w:p w14:paraId="2C1F0A7E" w14:textId="77777777" w:rsidR="0090028A" w:rsidRDefault="0090028A" w:rsidP="0090028A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3DE256DF" w14:textId="77777777" w:rsidR="0090028A" w:rsidRDefault="0090028A" w:rsidP="0090028A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F2B6D59" w14:textId="77777777" w:rsidR="0090028A" w:rsidRPr="00A9525E" w:rsidRDefault="0090028A" w:rsidP="0090028A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Наставно-научно веће Филозофског факултета у Нишу именовало ме је за реценценткињу рукописа књиге Данијеле Костадиновић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Где дрвеће умире: Магични реализам Живка Чинга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(одлука бр. 81/1-15-2-01, 19. фебруара 2024. године).</w:t>
      </w:r>
    </w:p>
    <w:p w14:paraId="300EBBFC" w14:textId="77777777" w:rsidR="0090028A" w:rsidRDefault="0090028A" w:rsidP="0090028A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Обим достављеног рукописа обима је 340.000 словних знакова, односно 166 страница текста припремљеног у </w:t>
      </w:r>
      <w:r>
        <w:rPr>
          <w:rFonts w:ascii="Times New Roman" w:hAnsi="Times New Roman" w:cs="Times New Roman"/>
          <w:sz w:val="24"/>
          <w:szCs w:val="24"/>
        </w:rPr>
        <w:t>Word</w:t>
      </w:r>
      <w:r>
        <w:rPr>
          <w:rFonts w:ascii="Times New Roman" w:hAnsi="Times New Roman" w:cs="Times New Roman"/>
          <w:sz w:val="24"/>
          <w:szCs w:val="24"/>
          <w:lang w:val="sr-Cyrl-CS"/>
        </w:rPr>
        <w:t>-у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C6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Поред </w:t>
      </w:r>
      <w:r w:rsidRPr="00C72A89">
        <w:rPr>
          <w:rFonts w:ascii="Times New Roman" w:hAnsi="Times New Roman" w:cs="Times New Roman"/>
          <w:i/>
          <w:sz w:val="24"/>
          <w:szCs w:val="24"/>
          <w:lang w:val="ru-RU"/>
        </w:rPr>
        <w:t>Речи захвалности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(4), </w:t>
      </w:r>
      <w:r w:rsidRPr="00C72A89">
        <w:rPr>
          <w:rFonts w:ascii="Times New Roman" w:hAnsi="Times New Roman" w:cs="Times New Roman"/>
          <w:i/>
          <w:sz w:val="24"/>
          <w:szCs w:val="24"/>
          <w:lang w:val="ru-RU"/>
        </w:rPr>
        <w:t>Уводне напомене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(5-6) и </w:t>
      </w:r>
      <w:r w:rsidRPr="00C72A89">
        <w:rPr>
          <w:rFonts w:ascii="Times New Roman" w:hAnsi="Times New Roman" w:cs="Times New Roman"/>
          <w:i/>
          <w:sz w:val="24"/>
          <w:szCs w:val="24"/>
          <w:lang w:val="ru-RU"/>
        </w:rPr>
        <w:t>Прилога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(литература, извори,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индекс појмова, индекс аутора; 147–166), рукопис чине следећа поглавља: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Живко Чинго у књижевно-критичком контексту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(7–22),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Пасквелија – митска повест о Македонији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(20–25),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Историјско и митско обликовање времена и простора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(25–42),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Повратак цепенсковској традицији приповедања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(43–54),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Празнични смех и гротеска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(54–75),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Рефлекси космогонијских и митова о постанку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(76–79),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Симболички аспекти неба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(80–85, </w:t>
      </w:r>
      <w:r w:rsidRPr="00C72A89">
        <w:rPr>
          <w:rFonts w:ascii="Times New Roman" w:hAnsi="Times New Roman" w:cs="Times New Roman"/>
          <w:i/>
          <w:sz w:val="24"/>
          <w:szCs w:val="24"/>
          <w:lang w:val="sr-Cyrl-CS"/>
        </w:rPr>
        <w:t>Симболика земље и воде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(86–89), 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Соларно и лунарно начело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(90–93), 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>Симболика и музика ветра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(94–100), 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>Трагови анимизма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(101–111),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Митопоетска пројек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>ција дрвета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(111–119), 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>Митема камен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(120–122). 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>Хришћански свеци и празници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(123–126), 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>Апокалипса и знакови последњег времена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(127–132), </w:t>
      </w:r>
      <w:r w:rsidRPr="008B1644">
        <w:rPr>
          <w:rFonts w:ascii="Times New Roman" w:hAnsi="Times New Roman" w:cs="Times New Roman"/>
          <w:i/>
          <w:sz w:val="24"/>
          <w:szCs w:val="24"/>
          <w:lang w:val="sr-Cyrl-CS"/>
        </w:rPr>
        <w:t>Закључак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(133–139). </w:t>
      </w:r>
    </w:p>
    <w:p w14:paraId="404E856B" w14:textId="77777777" w:rsidR="0090028A" w:rsidRDefault="0090028A" w:rsidP="0090028A">
      <w:pPr>
        <w:spacing w:after="0" w:line="360" w:lineRule="auto"/>
        <w:ind w:firstLine="720"/>
        <w:contextualSpacing/>
        <w:jc w:val="both"/>
        <w:rPr>
          <w:rStyle w:val="fontstyle01"/>
          <w:rFonts w:ascii="Times New Roman" w:eastAsia="Calibri" w:hAnsi="Times New Roman" w:cs="Times New Roman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Грађу на којој се заснивају резултати истраживања који су представљени у овом рукопису чине збирке приповедака 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>Пасквелија, Нова Пасквелија, Заљубљени дух и друге приче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 xml:space="preserve">Гроб за душу </w:t>
      </w:r>
      <w:r w:rsidRPr="008B1644">
        <w:rPr>
          <w:rFonts w:ascii="Times New Roman" w:hAnsi="Times New Roman"/>
          <w:iCs/>
          <w:sz w:val="24"/>
          <w:szCs w:val="24"/>
          <w:lang w:val="sr-Cyrl-RS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 xml:space="preserve"> Бунило </w:t>
      </w:r>
      <w:r w:rsidRPr="00CD1DE7">
        <w:rPr>
          <w:rFonts w:ascii="Times New Roman" w:hAnsi="Times New Roman"/>
          <w:iCs/>
          <w:sz w:val="24"/>
          <w:szCs w:val="24"/>
          <w:lang w:val="sr-Cyrl-RS"/>
        </w:rPr>
        <w:t xml:space="preserve">(одређене као тематски корпус под називом </w:t>
      </w:r>
      <w:r w:rsidRPr="00CD1DE7">
        <w:rPr>
          <w:rFonts w:ascii="Times New Roman" w:hAnsi="Times New Roman"/>
          <w:i/>
          <w:iCs/>
          <w:sz w:val="24"/>
          <w:szCs w:val="24"/>
          <w:lang w:val="sr-Cyrl-RS"/>
        </w:rPr>
        <w:t>Пасквелија</w:t>
      </w:r>
      <w:r w:rsidRPr="00CD1DE7">
        <w:rPr>
          <w:rFonts w:ascii="Times New Roman" w:hAnsi="Times New Roman"/>
          <w:iCs/>
          <w:sz w:val="24"/>
          <w:szCs w:val="24"/>
          <w:lang w:val="sr-Cyrl-RS"/>
        </w:rPr>
        <w:t>)</w:t>
      </w:r>
      <w:r>
        <w:rPr>
          <w:rFonts w:ascii="Times New Roman" w:hAnsi="Times New Roman"/>
          <w:iCs/>
          <w:sz w:val="24"/>
          <w:szCs w:val="24"/>
          <w:lang w:val="sr-Cyrl-RS"/>
        </w:rPr>
        <w:t xml:space="preserve"> македонског писца Живка Чинга. Тематско-мотивски слој обухвата друштвенополитички контекст на простору Македоније након Другог светског рата, а на рецентном се граде идеје о некомпатибилности идеологија типичних за период комунизма и социјализма са слојевима виталне </w:t>
      </w:r>
      <w:r w:rsidRPr="00204DE3">
        <w:rPr>
          <w:rStyle w:val="fontstyle01"/>
          <w:rFonts w:ascii="Times New Roman" w:eastAsia="Calibri" w:hAnsi="Times New Roman" w:cs="Times New Roman"/>
          <w:lang w:val="ru-RU"/>
        </w:rPr>
        <w:t>традици</w:t>
      </w:r>
      <w:r w:rsidRPr="00204DE3">
        <w:rPr>
          <w:rStyle w:val="fontstyle01"/>
          <w:rFonts w:ascii="Times New Roman" w:eastAsia="Calibri" w:hAnsi="Times New Roman" w:cs="Times New Roman"/>
          <w:lang w:val="sr-Cyrl-RS"/>
        </w:rPr>
        <w:t>јске свести</w:t>
      </w:r>
      <w:r>
        <w:rPr>
          <w:rStyle w:val="fontstyle01"/>
          <w:rFonts w:ascii="Times New Roman" w:eastAsia="Calibri" w:hAnsi="Times New Roman" w:cs="Times New Roman"/>
          <w:lang w:val="sr-Cyrl-RS"/>
        </w:rPr>
        <w:t xml:space="preserve"> јунака Чингових приповедака. </w:t>
      </w:r>
      <w:r>
        <w:rPr>
          <w:rFonts w:ascii="Times New Roman" w:hAnsi="Times New Roman"/>
          <w:iCs/>
          <w:sz w:val="24"/>
          <w:szCs w:val="24"/>
          <w:lang w:val="sr-Cyrl-RS"/>
        </w:rPr>
        <w:t xml:space="preserve">Региструјући у његовој прози елементе који одликују реалистичке наративне технике и склоност ка рецентном и историјском у избору тематско-мотивског слоја приповедака, Д. Костадиновић је нарочиту пажњу посветила регистровању оних слојева који у поменутој прози сведоче о примени поступака типичних за магични реализам. У том су контексту </w:t>
      </w:r>
      <w:r>
        <w:rPr>
          <w:rFonts w:ascii="Times New Roman" w:hAnsi="Times New Roman"/>
          <w:iCs/>
          <w:sz w:val="24"/>
          <w:szCs w:val="24"/>
          <w:lang w:val="sr-Cyrl-RS"/>
        </w:rPr>
        <w:lastRenderedPageBreak/>
        <w:t>тумачени митско-магијски елементи, сложен стилски и жанровски комплекс. Оваква комбинација поступака, како истиче ауторка, чини порозним границе између „</w:t>
      </w:r>
      <w:r w:rsidRPr="00204DE3">
        <w:rPr>
          <w:rStyle w:val="fontstyle01"/>
          <w:rFonts w:ascii="Times New Roman" w:eastAsia="Calibri" w:hAnsi="Times New Roman" w:cs="Times New Roman"/>
          <w:lang w:val="ru-RU"/>
        </w:rPr>
        <w:t>реалног и фантастичног</w:t>
      </w:r>
      <w:r>
        <w:rPr>
          <w:rStyle w:val="fontstyle01"/>
          <w:rFonts w:ascii="Times New Roman" w:eastAsia="Calibri" w:hAnsi="Times New Roman" w:cs="Times New Roman"/>
          <w:lang w:val="ru-RU"/>
        </w:rPr>
        <w:t>ˮ</w:t>
      </w:r>
      <w:r w:rsidRPr="00204DE3">
        <w:rPr>
          <w:rStyle w:val="fontstyle01"/>
          <w:rFonts w:ascii="Times New Roman" w:eastAsia="Calibri" w:hAnsi="Times New Roman" w:cs="Times New Roman"/>
          <w:lang w:val="ru-RU"/>
        </w:rPr>
        <w:t xml:space="preserve">, </w:t>
      </w:r>
      <w:r>
        <w:rPr>
          <w:rStyle w:val="fontstyle01"/>
          <w:rFonts w:ascii="Times New Roman" w:eastAsia="Calibri" w:hAnsi="Times New Roman" w:cs="Times New Roman"/>
          <w:lang w:val="ru-RU"/>
        </w:rPr>
        <w:t>што посредно утиче на избор смењиваног комичног и трагичног дискурса, ка примерима карневализације и евидентним елементима гротеске у анализираној прози. Њихово фукционисање ауторка разматра у неколико праваца, од онтолошког и антрополошког до политичког – у контексту релација према судару постреволуционарне идеологије и њене непотпуне и немогуће апликације на културно, етнички и идентитетски неуједначену заједницу из које потичу његови књижевни јунаци.</w:t>
      </w:r>
    </w:p>
    <w:p w14:paraId="1F612FAB" w14:textId="77777777" w:rsidR="0090028A" w:rsidRDefault="0090028A" w:rsidP="0090028A">
      <w:pPr>
        <w:spacing w:after="0" w:line="360" w:lineRule="auto"/>
        <w:ind w:firstLine="720"/>
        <w:contextualSpacing/>
        <w:jc w:val="both"/>
        <w:rPr>
          <w:rStyle w:val="fontstyle01"/>
          <w:rFonts w:ascii="Times New Roman" w:eastAsia="Calibri" w:hAnsi="Times New Roman" w:cs="Times New Roman"/>
          <w:lang w:val="ru-RU"/>
        </w:rPr>
      </w:pPr>
      <w:r>
        <w:rPr>
          <w:rStyle w:val="fontstyle01"/>
          <w:rFonts w:ascii="Times New Roman" w:eastAsia="Calibri" w:hAnsi="Times New Roman" w:cs="Times New Roman"/>
          <w:lang w:val="ru-RU"/>
        </w:rPr>
        <w:t>Значајним сегментом ове књиге, поред развијеног и веома слојевитог пасажа о магичном реализму (терминологија, тумачења, апликативни слој итд), чине и увиди у рецепцију књижевних остварења Ж. Чинга у македонској књижевној кририци и указивање на његову позицију у историји македонске писане књижевности. Рукопис сведочи и о изузетном познавању компаративног контекста феномена магичног реализма, пре свега водећих представника латиноамеричке групе (</w:t>
      </w:r>
      <w:r w:rsidRPr="00DE00C0">
        <w:rPr>
          <w:rFonts w:ascii="Times New Roman" w:hAnsi="Times New Roman" w:cs="Times New Roman"/>
          <w:sz w:val="24"/>
          <w:szCs w:val="24"/>
          <w:lang w:val="ru-RU"/>
        </w:rPr>
        <w:t>Габријел Гарсија Маркес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други). </w:t>
      </w:r>
    </w:p>
    <w:p w14:paraId="6E6E65C5" w14:textId="77777777" w:rsidR="0090028A" w:rsidRDefault="0090028A" w:rsidP="0090028A">
      <w:pPr>
        <w:spacing w:after="0" w:line="360" w:lineRule="auto"/>
        <w:ind w:firstLine="720"/>
        <w:contextualSpacing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Style w:val="fontstyle01"/>
          <w:rFonts w:ascii="Times New Roman" w:eastAsia="Calibri" w:hAnsi="Times New Roman" w:cs="Times New Roman"/>
          <w:lang w:val="ru-RU"/>
        </w:rPr>
        <w:t xml:space="preserve">Посебно треба истаћи адекватна и подробна тумачења процеса преобликовања  фолклорних слојева (усменокњижевни облици, веровања, обредне манифестације и друго) у анализираној грађи, као и изузетно темељна настојања да се функционисање архаичне симболике тумачи у новом контексту. У тим сегментима нарочито су важни уочени потенцијали утицаја Марка Цепенкова на прозно стваралаштво Чинга, не само у погледу склоности ка укључивању фолклорне грађе у тематскомотивски слој приповедака, већ и када је у питању примена одређених уметничких поступака. </w:t>
      </w:r>
    </w:p>
    <w:p w14:paraId="1C432EAE" w14:textId="77777777" w:rsidR="0090028A" w:rsidRDefault="0090028A" w:rsidP="0090028A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Рукопис показује резултате комплексног истраживања темељеног на релевантним теоријско-методолошким поставкама, комбинованим према потребама аналзиране грађе. У истраживањима је коришћена релевантна литература из различитих области науке о књижевности, која сугерише многострана интересовања ауторке: од књижевнотеоријских, књижевноисторијских извора, оних из области српске и македонске књижевности, са увидима у литературу из области антропологије, фолклористике, етнологије, психологије, етнопсихологије, студија културе и других сродних области. Интерпретативно-аналитички слој презентованих резултата темељен је на адекватном избору истраживаних феномена, поузданом тумачењу разноврсних њихових значења у нивоу књижевног текста, али и на нивоу рецепције и значаја у контексту поетике стваралаштва Ж. Чинга. Због свих наведених одлика, рукопис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Данијеле Костадиновић </w:t>
      </w:r>
      <w:r w:rsidRPr="007D0CD2">
        <w:rPr>
          <w:rFonts w:ascii="Times New Roman" w:hAnsi="Times New Roman" w:cs="Times New Roman"/>
          <w:i/>
          <w:sz w:val="24"/>
          <w:szCs w:val="24"/>
          <w:lang w:val="sr-Cyrl-CS"/>
        </w:rPr>
        <w:t>Где дрвеће умире: Магични реализам Живка Чинга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 задовољством препоручујем за штампу. </w:t>
      </w:r>
    </w:p>
    <w:p w14:paraId="58628347" w14:textId="77777777" w:rsidR="0090028A" w:rsidRDefault="0090028A" w:rsidP="0090028A">
      <w:pPr>
        <w:spacing w:after="0" w:line="360" w:lineRule="auto"/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53323A" w14:textId="77777777" w:rsidR="0090028A" w:rsidRDefault="0090028A" w:rsidP="0090028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Нишу, 27. 2. 2024. године</w:t>
      </w:r>
    </w:p>
    <w:p w14:paraId="50BAC970" w14:textId="77777777" w:rsidR="0090028A" w:rsidRDefault="0090028A" w:rsidP="0090028A">
      <w:pPr>
        <w:spacing w:after="0" w:line="360" w:lineRule="auto"/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CEBCE2" w14:textId="77777777" w:rsidR="0090028A" w:rsidRDefault="0090028A" w:rsidP="0090028A">
      <w:pPr>
        <w:spacing w:after="0" w:line="360" w:lineRule="auto"/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335C0073" wp14:editId="6B8A1790">
            <wp:simplePos x="0" y="0"/>
            <wp:positionH relativeFrom="column">
              <wp:posOffset>2453005</wp:posOffset>
            </wp:positionH>
            <wp:positionV relativeFrom="page">
              <wp:posOffset>2428875</wp:posOffset>
            </wp:positionV>
            <wp:extent cx="3465576" cy="1188720"/>
            <wp:effectExtent l="0" t="0" r="190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ber_image_2024-01-09_12-56-46-198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5576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30F2DC" w14:textId="77777777" w:rsidR="0090028A" w:rsidRDefault="0090028A" w:rsidP="0090028A">
      <w:pPr>
        <w:spacing w:after="0" w:line="360" w:lineRule="auto"/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E1A3B5" w14:textId="77777777" w:rsidR="0090028A" w:rsidRDefault="0090028A" w:rsidP="0090028A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28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</w:t>
      </w:r>
      <w:r w:rsidRPr="007D0CD2">
        <w:rPr>
          <w:rFonts w:ascii="Times New Roman" w:hAnsi="Times New Roman" w:cs="Times New Roman"/>
          <w:sz w:val="24"/>
          <w:szCs w:val="24"/>
          <w:lang w:val="ru-RU"/>
        </w:rPr>
        <w:t>проф. др Данијела Поповић Николић</w:t>
      </w:r>
    </w:p>
    <w:p w14:paraId="29524307" w14:textId="77777777" w:rsidR="0090028A" w:rsidRDefault="0090028A" w:rsidP="0090028A">
      <w:pPr>
        <w:spacing w:after="0" w:line="360" w:lineRule="auto"/>
        <w:ind w:left="43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редовни професор департмана Србистика</w:t>
      </w:r>
    </w:p>
    <w:p w14:paraId="53E22913" w14:textId="77777777" w:rsidR="0090028A" w:rsidRPr="007D0CD2" w:rsidRDefault="0090028A" w:rsidP="0090028A">
      <w:pPr>
        <w:spacing w:after="0" w:line="360" w:lineRule="auto"/>
        <w:ind w:left="3612"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0CD2">
        <w:rPr>
          <w:rFonts w:ascii="Times New Roman" w:hAnsi="Times New Roman" w:cs="Times New Roman"/>
          <w:sz w:val="24"/>
          <w:szCs w:val="24"/>
          <w:lang w:val="ru-RU"/>
        </w:rPr>
        <w:t>Филозофски факултет Универзитета у Ниш</w:t>
      </w:r>
    </w:p>
    <w:p w14:paraId="264EAD53" w14:textId="77777777" w:rsidR="0090028A" w:rsidRPr="0090028A" w:rsidRDefault="0090028A" w:rsidP="0083338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0028A" w:rsidRPr="00900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15E"/>
    <w:rsid w:val="00085230"/>
    <w:rsid w:val="0038233D"/>
    <w:rsid w:val="004E1E04"/>
    <w:rsid w:val="004F515E"/>
    <w:rsid w:val="00544302"/>
    <w:rsid w:val="00606469"/>
    <w:rsid w:val="008225E2"/>
    <w:rsid w:val="00833389"/>
    <w:rsid w:val="008C6A87"/>
    <w:rsid w:val="0090028A"/>
    <w:rsid w:val="00A3692C"/>
    <w:rsid w:val="00C971E0"/>
    <w:rsid w:val="00DD0052"/>
    <w:rsid w:val="00DF1595"/>
    <w:rsid w:val="00E8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D3CF5"/>
  <w15:docId w15:val="{D7F69964-35AE-4DB4-8323-2A0BA269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90028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381648099278</dc:creator>
  <cp:lastModifiedBy>Snežana Miljković</cp:lastModifiedBy>
  <cp:revision>2</cp:revision>
  <dcterms:created xsi:type="dcterms:W3CDTF">2024-02-28T07:45:00Z</dcterms:created>
  <dcterms:modified xsi:type="dcterms:W3CDTF">2024-02-28T07:45:00Z</dcterms:modified>
</cp:coreProperties>
</file>